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F9957" w14:textId="77777777" w:rsidR="00D422CA" w:rsidRPr="008B66E6" w:rsidRDefault="1E8AD133" w:rsidP="00D422CA">
      <w:pPr>
        <w:pStyle w:val="Heading1"/>
      </w:pPr>
      <w:r w:rsidRPr="008B66E6">
        <w:t>Стандард 5: Курикулум</w:t>
      </w:r>
    </w:p>
    <w:p w14:paraId="5CCA7153" w14:textId="36EEAFC0" w:rsidR="0033246D" w:rsidRPr="008B66E6" w:rsidRDefault="1E8AD133" w:rsidP="0033246D">
      <w:pPr>
        <w:rPr>
          <w:szCs w:val="22"/>
        </w:rPr>
      </w:pPr>
      <w:r w:rsidRPr="008B66E6">
        <w:t xml:space="preserve">Студијски програм </w:t>
      </w:r>
      <w:r w:rsidRPr="008B66E6">
        <w:rPr>
          <w:b/>
          <w:bCs/>
          <w:i/>
          <w:iCs/>
        </w:rPr>
        <w:t>Фармација</w:t>
      </w:r>
      <w:r w:rsidRPr="008B66E6">
        <w:t xml:space="preserve"> представља интегрисане академске студије које трају пет година (10 семестара), имају 300 ЕСПБ бодова и обухватају </w:t>
      </w:r>
      <w:r w:rsidR="003F2923" w:rsidRPr="008B66E6">
        <w:rPr>
          <w:lang w:val="sr-Latn-RS"/>
        </w:rPr>
        <w:t>52</w:t>
      </w:r>
      <w:r w:rsidRPr="008B66E6">
        <w:t xml:space="preserve"> предмета: 4</w:t>
      </w:r>
      <w:r w:rsidR="00B9115D" w:rsidRPr="008B66E6">
        <w:rPr>
          <w:lang w:val="sr-Latn-RS"/>
        </w:rPr>
        <w:t>7</w:t>
      </w:r>
      <w:r w:rsidRPr="008B66E6">
        <w:t xml:space="preserve"> обавезн</w:t>
      </w:r>
      <w:r w:rsidR="00B9115D" w:rsidRPr="008B66E6">
        <w:t>их</w:t>
      </w:r>
      <w:r w:rsidRPr="008B66E6">
        <w:t xml:space="preserve"> и 5 изборних предмета (од понуђених 41). Број часова активне наставе на студијском програму је 3750, од чега 210</w:t>
      </w:r>
      <w:r w:rsidR="003D363D" w:rsidRPr="008B66E6">
        <w:t>6</w:t>
      </w:r>
      <w:r w:rsidRPr="008B66E6">
        <w:t xml:space="preserve"> часови предавања, a 164</w:t>
      </w:r>
      <w:r w:rsidR="003D363D" w:rsidRPr="008B66E6">
        <w:t>4</w:t>
      </w:r>
      <w:r w:rsidRPr="008B66E6">
        <w:t xml:space="preserve"> часова практичне наставе. На свакој години студија испуњен је услов да је број часова предавања већи од 50% часова активне наставе, као и да је број часова активне наставе на свакој години студија 600-900. Часови потребни за израду завршног рада и стручне пракса не улазе у часове активне наставе.</w:t>
      </w:r>
    </w:p>
    <w:p w14:paraId="5D6A6B5F" w14:textId="48D5009B" w:rsidR="0033246D" w:rsidRPr="0033246D" w:rsidRDefault="06D9E567" w:rsidP="06D9E567">
      <w:pPr>
        <w:rPr>
          <w:szCs w:val="22"/>
        </w:rPr>
      </w:pPr>
      <w:r>
        <w:t>На крају другог и осмог семестра, као и током десетог семестра предвиђен</w:t>
      </w:r>
      <w:r w:rsidRPr="06D9E567">
        <w:rPr>
          <w:lang w:val="sr-Latn-RS"/>
        </w:rPr>
        <w:t>a</w:t>
      </w:r>
      <w:r>
        <w:t xml:space="preserve"> је стручна пракса која обухвата укупно </w:t>
      </w:r>
      <w:r w:rsidRPr="06D9E567">
        <w:rPr>
          <w:lang w:val="sr-Latn-RS"/>
        </w:rPr>
        <w:t>1060</w:t>
      </w:r>
      <w:r>
        <w:t xml:space="preserve"> часова (који не улазе у часове активне наставе), вреди 17 ЕСПБ и која се одвија у некој од наставних база Факултета, а дефинисана је у курикулуму фармацеута Европском директивом DIRECTIVE 2005/36/EC OF THE EUROPEAN PARLIAMENT AND OF THE COUNCIL. Такође, у десетом семестру обавезна је израда завршног рада који вреди 15 ЕСПБ бодова. Сви предмети су подељени у </w:t>
      </w:r>
      <w:r w:rsidRPr="00BB6DAA">
        <w:t xml:space="preserve">следеће групе: </w:t>
      </w:r>
      <w:proofErr w:type="spellStart"/>
      <w:r w:rsidRPr="00BB6DAA">
        <w:t>академск</w:t>
      </w:r>
      <w:proofErr w:type="spellEnd"/>
      <w:r w:rsidRPr="00BB6DAA">
        <w:rPr>
          <w:lang w:val="sr-Cyrl-CS"/>
        </w:rPr>
        <w:t>о-општеобразовни</w:t>
      </w:r>
      <w:r w:rsidRPr="00BB6DAA">
        <w:t xml:space="preserve"> предмети (заступљеност 9,</w:t>
      </w:r>
      <w:r w:rsidRPr="00BB6DAA">
        <w:rPr>
          <w:lang w:val="sr-Latn-RS"/>
        </w:rPr>
        <w:t>80</w:t>
      </w:r>
      <w:r w:rsidRPr="00BB6DAA">
        <w:t>%), теоријско-методолошки</w:t>
      </w:r>
      <w:r w:rsidRPr="00BB6DAA">
        <w:rPr>
          <w:lang w:val="sr-Cyrl-CS"/>
        </w:rPr>
        <w:t xml:space="preserve"> (</w:t>
      </w:r>
      <w:r w:rsidRPr="00BB6DAA">
        <w:t xml:space="preserve">заступљеност </w:t>
      </w:r>
      <w:r w:rsidRPr="00BB6DAA">
        <w:rPr>
          <w:lang w:val="sr-Cyrl-CS"/>
        </w:rPr>
        <w:t>19,</w:t>
      </w:r>
      <w:r w:rsidRPr="00BB6DAA">
        <w:rPr>
          <w:lang w:val="sr-Latn-RS"/>
        </w:rPr>
        <w:t>36</w:t>
      </w:r>
      <w:r w:rsidRPr="00BB6DAA">
        <w:t xml:space="preserve">%), </w:t>
      </w:r>
      <w:proofErr w:type="spellStart"/>
      <w:r w:rsidRPr="00BB6DAA">
        <w:t>научн</w:t>
      </w:r>
      <w:proofErr w:type="spellEnd"/>
      <w:r w:rsidRPr="00BB6DAA">
        <w:rPr>
          <w:lang w:val="sr-Cyrl-CS"/>
        </w:rPr>
        <w:t>о-стручни (</w:t>
      </w:r>
      <w:r w:rsidRPr="00BB6DAA">
        <w:t xml:space="preserve">заступљеност </w:t>
      </w:r>
      <w:r w:rsidRPr="00BB6DAA">
        <w:rPr>
          <w:lang w:val="sr-Cyrl-CS"/>
        </w:rPr>
        <w:t>3</w:t>
      </w:r>
      <w:r w:rsidR="00DA1754">
        <w:rPr>
          <w:lang w:val="sr-Latn-RS"/>
        </w:rPr>
        <w:t>1</w:t>
      </w:r>
      <w:r w:rsidRPr="00BB6DAA">
        <w:rPr>
          <w:lang w:val="sr-Cyrl-CS"/>
        </w:rPr>
        <w:t>,</w:t>
      </w:r>
      <w:r w:rsidR="00DA1754">
        <w:rPr>
          <w:lang w:val="sr-Latn-RS"/>
        </w:rPr>
        <w:t>62</w:t>
      </w:r>
      <w:r w:rsidRPr="00BB6DAA">
        <w:rPr>
          <w:lang w:val="sr-Cyrl-CS"/>
        </w:rPr>
        <w:t>%)</w:t>
      </w:r>
      <w:r w:rsidRPr="00BB6DAA">
        <w:t xml:space="preserve"> и стручно-апликативни (заступљеност </w:t>
      </w:r>
      <w:r w:rsidRPr="00BB6DAA">
        <w:rPr>
          <w:lang w:val="sr-Cyrl-CS"/>
        </w:rPr>
        <w:t>3</w:t>
      </w:r>
      <w:r w:rsidR="00DA1754">
        <w:rPr>
          <w:lang w:val="sr-Latn-RS"/>
        </w:rPr>
        <w:t>9</w:t>
      </w:r>
      <w:r w:rsidRPr="00BB6DAA">
        <w:rPr>
          <w:lang w:val="sr-Cyrl-CS"/>
        </w:rPr>
        <w:t>,</w:t>
      </w:r>
      <w:r w:rsidR="00DA1754">
        <w:rPr>
          <w:lang w:val="sr-Latn-RS"/>
        </w:rPr>
        <w:t>22</w:t>
      </w:r>
      <w:r w:rsidRPr="00BB6DAA">
        <w:t>%), што је у складу са стандардима. Изборни предмети чине 10% у односу на укупан број ЕСПБ бодова. На</w:t>
      </w:r>
      <w:r>
        <w:t xml:space="preserve"> свакој позицији изборног предмета постоји листа од најмање осам предмета које студент може да изабере. Већина изборних предмета је стручно-апликативна. </w:t>
      </w:r>
    </w:p>
    <w:p w14:paraId="56A5FCC5" w14:textId="5862AEA7" w:rsidR="0033246D" w:rsidRPr="00BB6DAA" w:rsidRDefault="06D9E567" w:rsidP="0033246D">
      <w:pPr>
        <w:rPr>
          <w:szCs w:val="22"/>
        </w:rPr>
      </w:pPr>
      <w:r w:rsidRPr="00BB6DAA">
        <w:t>У структури курикулума заступљени су општеобразовни предмети, предмети из области хемије, затим предмети из медицинских и биолошких наука, као и предмети из фармацеутске технологије и социјалне фармације. Заступљеност одређених предмета у курикулуму омогућава постизање исхода студијског програма Фармација, и потпуно је у складу са европским курикулумима фармацеутских факултета, што је документовано у Стандарду 6, Прилог 6.4.ц.</w:t>
      </w:r>
    </w:p>
    <w:p w14:paraId="38DEE291" w14:textId="66B1F137" w:rsidR="0033246D" w:rsidRPr="0033246D" w:rsidRDefault="06D9E567" w:rsidP="0033246D">
      <w:pPr>
        <w:rPr>
          <w:szCs w:val="22"/>
        </w:rPr>
      </w:pPr>
      <w:r w:rsidRPr="00BB6DAA">
        <w:t>Детаљан опис сваког  предмета  студијског програма Фармација дат је у Књизи предмета.</w:t>
      </w:r>
    </w:p>
    <w:p w14:paraId="59A695B6" w14:textId="77777777" w:rsidR="0033246D" w:rsidRPr="0033246D" w:rsidRDefault="1E8AD133" w:rsidP="0033246D">
      <w:pPr>
        <w:pStyle w:val="Heading3"/>
      </w:pPr>
      <w:r>
        <w:t>Прилози и табеле</w:t>
      </w:r>
    </w:p>
    <w:p w14:paraId="6B0097B6" w14:textId="77777777" w:rsidR="00B4387D" w:rsidRPr="009F300D" w:rsidRDefault="00D032B3" w:rsidP="00B4387D">
      <w:pPr>
        <w:pStyle w:val="Heading3"/>
        <w:spacing w:before="0" w:after="0" w:line="288" w:lineRule="auto"/>
        <w:rPr>
          <w:rFonts w:eastAsia="Calibri"/>
          <w:b w:val="0"/>
          <w:smallCaps w:val="0"/>
          <w:spacing w:val="0"/>
          <w:sz w:val="22"/>
          <w:szCs w:val="20"/>
          <w:lang w:eastAsia="en-US"/>
        </w:rPr>
      </w:pPr>
      <w:hyperlink r:id="rId10" w:history="1">
        <w:r w:rsidR="00B4387D" w:rsidRPr="009F300D">
          <w:rPr>
            <w:rStyle w:val="Hyperlink"/>
            <w:rFonts w:eastAsia="Calibri"/>
            <w:b w:val="0"/>
            <w:smallCaps w:val="0"/>
            <w:spacing w:val="0"/>
            <w:sz w:val="22"/>
            <w:szCs w:val="20"/>
          </w:rPr>
          <w:t>Прилог 5.1. Распоред часова</w:t>
        </w:r>
      </w:hyperlink>
    </w:p>
    <w:p w14:paraId="10C9048D" w14:textId="77777777" w:rsidR="00B4387D" w:rsidRPr="009F300D" w:rsidRDefault="00D032B3" w:rsidP="00B4387D">
      <w:pPr>
        <w:pStyle w:val="Heading3"/>
        <w:spacing w:before="0" w:after="0" w:line="288" w:lineRule="auto"/>
        <w:rPr>
          <w:rFonts w:eastAsia="Calibri"/>
          <w:b w:val="0"/>
          <w:smallCaps w:val="0"/>
          <w:spacing w:val="0"/>
          <w:sz w:val="22"/>
          <w:szCs w:val="20"/>
        </w:rPr>
      </w:pPr>
      <w:hyperlink r:id="rId11" w:history="1">
        <w:r w:rsidR="00B4387D" w:rsidRPr="009F300D">
          <w:rPr>
            <w:rStyle w:val="Hyperlink"/>
            <w:rFonts w:eastAsia="Calibri"/>
            <w:b w:val="0"/>
            <w:smallCaps w:val="0"/>
            <w:spacing w:val="0"/>
            <w:sz w:val="22"/>
            <w:szCs w:val="20"/>
          </w:rPr>
          <w:t>Прилог 5.2. Књига предмета (у документацији и на сајту институције)</w:t>
        </w:r>
      </w:hyperlink>
    </w:p>
    <w:p w14:paraId="0AC04A33" w14:textId="77777777" w:rsidR="00B4387D" w:rsidRDefault="00D032B3" w:rsidP="00B4387D">
      <w:pPr>
        <w:spacing w:after="0"/>
      </w:pPr>
      <w:hyperlink r:id="rId12" w:history="1">
        <w:r w:rsidR="00B4387D">
          <w:rPr>
            <w:rStyle w:val="Hyperlink"/>
          </w:rPr>
          <w:t>Прилог 5.3а. Одлука Наставно-научног већа Фармацеутског факултета о прихватању студијског програма</w:t>
        </w:r>
      </w:hyperlink>
    </w:p>
    <w:p w14:paraId="0DEB4A1E" w14:textId="77777777" w:rsidR="00B4387D" w:rsidRDefault="00D032B3" w:rsidP="00B4387D">
      <w:pPr>
        <w:spacing w:after="0"/>
      </w:pPr>
      <w:hyperlink r:id="rId13" w:history="1">
        <w:r w:rsidR="00B4387D">
          <w:rPr>
            <w:rStyle w:val="Hyperlink"/>
          </w:rPr>
          <w:t>Прилог 5.3б. Одлука Сената Универзитета у Београду о прихватању студијског програма</w:t>
        </w:r>
      </w:hyperlink>
    </w:p>
    <w:p w14:paraId="16870E3C" w14:textId="77777777" w:rsidR="00B4387D" w:rsidRDefault="00D032B3" w:rsidP="00B4387D">
      <w:pPr>
        <w:spacing w:after="0"/>
      </w:pPr>
      <w:hyperlink r:id="rId14" w:history="1">
        <w:r w:rsidR="00B4387D">
          <w:rPr>
            <w:rStyle w:val="Hyperlink"/>
          </w:rPr>
          <w:t>Прилог 5.4. Извештај о параметрима студијског програма</w:t>
        </w:r>
      </w:hyperlink>
    </w:p>
    <w:p w14:paraId="5639C327" w14:textId="77777777" w:rsidR="00B4387D" w:rsidRDefault="00D032B3" w:rsidP="00B4387D">
      <w:pPr>
        <w:spacing w:after="0"/>
      </w:pPr>
      <w:hyperlink r:id="rId15" w:history="1">
        <w:r w:rsidR="00B4387D">
          <w:rPr>
            <w:rStyle w:val="Hyperlink"/>
          </w:rPr>
          <w:t>Прилог 5.5. Правилник о полагању испита</w:t>
        </w:r>
      </w:hyperlink>
    </w:p>
    <w:p w14:paraId="01008138" w14:textId="77777777" w:rsidR="00B4387D" w:rsidRDefault="00D032B3" w:rsidP="00B4387D">
      <w:pPr>
        <w:spacing w:after="0"/>
      </w:pPr>
      <w:hyperlink r:id="rId16" w:history="1">
        <w:r w:rsidR="00B4387D">
          <w:rPr>
            <w:rStyle w:val="Hyperlink"/>
          </w:rPr>
          <w:t>Прилог 5.6. Упутство за писање завршног рада</w:t>
        </w:r>
      </w:hyperlink>
    </w:p>
    <w:p w14:paraId="0B69F0DA" w14:textId="77777777" w:rsidR="00B4387D" w:rsidRDefault="00D032B3" w:rsidP="00B4387D">
      <w:pPr>
        <w:spacing w:after="0"/>
      </w:pPr>
      <w:hyperlink r:id="rId17" w:history="1">
        <w:r w:rsidR="00B4387D">
          <w:rPr>
            <w:rStyle w:val="Hyperlink"/>
          </w:rPr>
          <w:t>Табела 5.1а. Распоред предмета по семестрима и годинама студија за студијски програм другог нивоа студија</w:t>
        </w:r>
      </w:hyperlink>
      <w:r w:rsidR="00B4387D">
        <w:t xml:space="preserve"> </w:t>
      </w:r>
    </w:p>
    <w:p w14:paraId="7A4994D0" w14:textId="336FB5C4" w:rsidR="00B4387D" w:rsidRDefault="00D032B3" w:rsidP="00B4387D">
      <w:pPr>
        <w:spacing w:after="0"/>
      </w:pPr>
      <w:hyperlink r:id="rId18" w:history="1">
        <w:r w:rsidR="00B4387D">
          <w:rPr>
            <w:rStyle w:val="Hyperlink"/>
          </w:rPr>
          <w:t>Табела 5.2. Спецификација предмета</w:t>
        </w:r>
      </w:hyperlink>
      <w:r w:rsidR="00B4387D">
        <w:t xml:space="preserve"> </w:t>
      </w:r>
    </w:p>
    <w:p w14:paraId="5F9CE356" w14:textId="4A55C6F4" w:rsidR="00A71E74" w:rsidRDefault="1E8AD133" w:rsidP="00B4387D">
      <w:pPr>
        <w:spacing w:after="0"/>
      </w:pPr>
      <w:r>
        <w:t>Табела 5.2а. Спецификација стручне праксе</w:t>
      </w:r>
    </w:p>
    <w:p w14:paraId="73DEEF0D" w14:textId="77777777" w:rsidR="00B4387D" w:rsidRDefault="00D032B3" w:rsidP="00B4387D">
      <w:pPr>
        <w:spacing w:after="0"/>
      </w:pPr>
      <w:hyperlink r:id="rId19" w:history="1">
        <w:r w:rsidR="00B4387D">
          <w:rPr>
            <w:rStyle w:val="Hyperlink"/>
          </w:rPr>
          <w:t xml:space="preserve">Табела 5.2б Спецификација завршног рада </w:t>
        </w:r>
      </w:hyperlink>
      <w:r w:rsidR="00B4387D">
        <w:t xml:space="preserve"> </w:t>
      </w:r>
    </w:p>
    <w:p w14:paraId="4A85B524" w14:textId="32E68A4C" w:rsidR="00B4387D" w:rsidRDefault="00D032B3" w:rsidP="00B4387D">
      <w:pPr>
        <w:spacing w:after="0"/>
        <w:rPr>
          <w:rStyle w:val="Hyperlink"/>
        </w:rPr>
      </w:pPr>
      <w:hyperlink r:id="rId20" w:history="1">
        <w:r w:rsidR="00B4387D">
          <w:rPr>
            <w:rStyle w:val="Hyperlink"/>
          </w:rPr>
          <w:t>Табела 5.3 Изборна настава на студијском програму</w:t>
        </w:r>
      </w:hyperlink>
    </w:p>
    <w:p w14:paraId="51545F26" w14:textId="67504818" w:rsidR="00D032B3" w:rsidRDefault="00D032B3" w:rsidP="00B4387D">
      <w:pPr>
        <w:spacing w:after="0"/>
      </w:pPr>
      <w:r>
        <w:t>Табела 5.4. Р</w:t>
      </w:r>
      <w:bookmarkStart w:id="0" w:name="_GoBack"/>
      <w:bookmarkEnd w:id="0"/>
      <w:r>
        <w:t>асподела предмета по типу предмета</w:t>
      </w:r>
    </w:p>
    <w:p w14:paraId="74F08F82" w14:textId="77777777" w:rsidR="004744B6" w:rsidRPr="00973970" w:rsidRDefault="004744B6" w:rsidP="00FA317C">
      <w:pPr>
        <w:rPr>
          <w:lang w:val="sr-Latn-RS"/>
        </w:rPr>
      </w:pPr>
    </w:p>
    <w:sectPr w:rsidR="004744B6" w:rsidRPr="00973970" w:rsidSect="00541192">
      <w:headerReference w:type="default" r:id="rId21"/>
      <w:footerReference w:type="default" r:id="rId22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33476" w14:textId="77777777" w:rsidR="00BB21DD" w:rsidRDefault="00BB21DD" w:rsidP="006A1398">
      <w:pPr>
        <w:spacing w:after="0" w:line="240" w:lineRule="auto"/>
      </w:pPr>
      <w:r>
        <w:separator/>
      </w:r>
    </w:p>
  </w:endnote>
  <w:endnote w:type="continuationSeparator" w:id="0">
    <w:p w14:paraId="1EC452F8" w14:textId="77777777" w:rsidR="00BB21DD" w:rsidRDefault="00BB21DD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D68E4" w14:textId="77777777" w:rsidR="004508CA" w:rsidRDefault="004508C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B6DAA">
      <w:rPr>
        <w:noProof/>
      </w:rPr>
      <w:t>1</w:t>
    </w:r>
    <w:r>
      <w:rPr>
        <w:noProof/>
      </w:rPr>
      <w:fldChar w:fldCharType="end"/>
    </w:r>
  </w:p>
  <w:p w14:paraId="5B0DCEFD" w14:textId="77777777" w:rsidR="004508CA" w:rsidRDefault="004508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1CF12" w14:textId="77777777" w:rsidR="00BB21DD" w:rsidRDefault="00BB21DD" w:rsidP="006A1398">
      <w:pPr>
        <w:spacing w:after="0" w:line="240" w:lineRule="auto"/>
      </w:pPr>
      <w:r>
        <w:separator/>
      </w:r>
    </w:p>
  </w:footnote>
  <w:footnote w:type="continuationSeparator" w:id="0">
    <w:p w14:paraId="0290DE28" w14:textId="77777777" w:rsidR="00BB21DD" w:rsidRDefault="00BB21DD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684DC" w14:textId="77777777" w:rsidR="006A1398" w:rsidRPr="00FA317C" w:rsidRDefault="006A1398" w:rsidP="1E8AD133">
    <w:pPr>
      <w:pStyle w:val="Header"/>
      <w:tabs>
        <w:tab w:val="clear" w:pos="9072"/>
        <w:tab w:val="right" w:pos="9639"/>
      </w:tabs>
      <w:rPr>
        <w:u w:val="single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 w:rsidR="00E63C88">
      <w:rPr>
        <w:u w:val="single"/>
        <w:lang w:val="sr-Latn-RS"/>
      </w:rPr>
      <w:t xml:space="preserve"> </w:t>
    </w:r>
    <w:r w:rsidR="00FA317C">
      <w:rPr>
        <w:u w:val="single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87315B"/>
    <w:multiLevelType w:val="hybridMultilevel"/>
    <w:tmpl w:val="5518156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422CA"/>
    <w:rsid w:val="00120D3A"/>
    <w:rsid w:val="00127847"/>
    <w:rsid w:val="00163AF0"/>
    <w:rsid w:val="001C1289"/>
    <w:rsid w:val="001C2836"/>
    <w:rsid w:val="001E742F"/>
    <w:rsid w:val="00215C9F"/>
    <w:rsid w:val="002773C3"/>
    <w:rsid w:val="00284D5F"/>
    <w:rsid w:val="002D0A60"/>
    <w:rsid w:val="00321023"/>
    <w:rsid w:val="0033246D"/>
    <w:rsid w:val="00334933"/>
    <w:rsid w:val="0033771B"/>
    <w:rsid w:val="00342380"/>
    <w:rsid w:val="00363C6B"/>
    <w:rsid w:val="00366CBD"/>
    <w:rsid w:val="00374F6E"/>
    <w:rsid w:val="003D363D"/>
    <w:rsid w:val="003F2923"/>
    <w:rsid w:val="00407AA0"/>
    <w:rsid w:val="00440B32"/>
    <w:rsid w:val="004508CA"/>
    <w:rsid w:val="00462D7F"/>
    <w:rsid w:val="004744B6"/>
    <w:rsid w:val="004A0E8F"/>
    <w:rsid w:val="004A6DB6"/>
    <w:rsid w:val="004D17D8"/>
    <w:rsid w:val="004E0056"/>
    <w:rsid w:val="00541192"/>
    <w:rsid w:val="00560997"/>
    <w:rsid w:val="005C7975"/>
    <w:rsid w:val="00623103"/>
    <w:rsid w:val="006355BD"/>
    <w:rsid w:val="006A1398"/>
    <w:rsid w:val="00773765"/>
    <w:rsid w:val="00774DFE"/>
    <w:rsid w:val="007E358C"/>
    <w:rsid w:val="00805B0D"/>
    <w:rsid w:val="00867320"/>
    <w:rsid w:val="008B66E6"/>
    <w:rsid w:val="00915E4F"/>
    <w:rsid w:val="00973970"/>
    <w:rsid w:val="009A1770"/>
    <w:rsid w:val="009A2106"/>
    <w:rsid w:val="009A6E52"/>
    <w:rsid w:val="009F300D"/>
    <w:rsid w:val="00A01A12"/>
    <w:rsid w:val="00A71E74"/>
    <w:rsid w:val="00AE0118"/>
    <w:rsid w:val="00B21D42"/>
    <w:rsid w:val="00B4387D"/>
    <w:rsid w:val="00B9115D"/>
    <w:rsid w:val="00BB1639"/>
    <w:rsid w:val="00BB21DD"/>
    <w:rsid w:val="00BB6DAA"/>
    <w:rsid w:val="00C12729"/>
    <w:rsid w:val="00C161E6"/>
    <w:rsid w:val="00C5194C"/>
    <w:rsid w:val="00C66670"/>
    <w:rsid w:val="00D032B3"/>
    <w:rsid w:val="00D324D7"/>
    <w:rsid w:val="00D34144"/>
    <w:rsid w:val="00D422CA"/>
    <w:rsid w:val="00D62060"/>
    <w:rsid w:val="00D62E92"/>
    <w:rsid w:val="00DA1754"/>
    <w:rsid w:val="00DA2B9D"/>
    <w:rsid w:val="00DD4B5C"/>
    <w:rsid w:val="00E566AD"/>
    <w:rsid w:val="00E63C88"/>
    <w:rsid w:val="00F13407"/>
    <w:rsid w:val="00FA317C"/>
    <w:rsid w:val="06D9E567"/>
    <w:rsid w:val="1E8AD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B47BE"/>
  <w15:docId w15:val="{48D5A565-2C50-411C-8BF3-600C12D90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1192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1398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2836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1C2836"/>
    <w:pPr>
      <w:spacing w:before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A1398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customStyle="1" w:styleId="Heading2Char">
    <w:name w:val="Heading 2 Char"/>
    <w:link w:val="Heading2"/>
    <w:uiPriority w:val="9"/>
    <w:rsid w:val="001C2836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1C2836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7E358C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7E358C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E566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66AD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E566AD"/>
    <w:rPr>
      <w:lang w:val="sr-Cyrl-R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66A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566AD"/>
    <w:rPr>
      <w:b/>
      <w:bCs/>
      <w:lang w:val="sr-Cyrl-R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6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566AD"/>
    <w:rPr>
      <w:rFonts w:ascii="Tahoma" w:hAnsi="Tahoma" w:cs="Tahoma"/>
      <w:sz w:val="16"/>
      <w:szCs w:val="16"/>
      <w:lang w:val="sr-Cyrl-R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F:/KAPK/Akreditacija%20Farmaceutski%20fakultet/Akreditacija%202017/Biohemijska%20dijagnostika/Standard%205/Prilog%205.3b.pdf" TargetMode="External"/><Relationship Id="rId18" Type="http://schemas.openxmlformats.org/officeDocument/2006/relationships/hyperlink" Target="file:///F:/KAPK/Akreditacija%20Farmaceutski%20fakultet/Akreditacija%202017/Biohemijska%20dijagnostika/Standard%205/Tabela%205.2.docx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file:///F:/KAPK/Akreditacija%20Farmaceutski%20fakultet/Akreditacija%202017/Biohemijska%20dijagnostika/Standard%205/Prilog%205.3a.pdf" TargetMode="External"/><Relationship Id="rId17" Type="http://schemas.openxmlformats.org/officeDocument/2006/relationships/hyperlink" Target="file:///F:/KAPK/Akreditacija%20Farmaceutski%20fakultet/Akreditacija%202017/Biohemijska%20dijagnostika/Standard%205/Tabela%205.1A.doc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F:/KAPK/Akreditacija%20Farmaceutski%20fakultet/Akreditacija%202017/Biohemijska%20dijagnostika/Standard%205/Prilog%205.6.pdf" TargetMode="External"/><Relationship Id="rId20" Type="http://schemas.openxmlformats.org/officeDocument/2006/relationships/hyperlink" Target="file:///F:/KAPK/Akreditacija%20Farmaceutski%20fakultet/Akreditacija%202017/Biohemijska%20dijagnostika/Standard%205/Tabela%205.3.docx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F:/KAPK/Akreditacija%20Farmaceutski%20fakultet/Akreditacija%202017/Biohemijska%20dijagnostika/Standard%205/Prilog%205.2.pdf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file:///F:/KAPK/Akreditacija%20Farmaceutski%20fakultet/Akreditacija%202017/Biohemijska%20dijagnostika/Standard%205/Prilog%205.5.pdf" TargetMode="External"/><Relationship Id="rId23" Type="http://schemas.openxmlformats.org/officeDocument/2006/relationships/fontTable" Target="fontTable.xml"/><Relationship Id="rId10" Type="http://schemas.openxmlformats.org/officeDocument/2006/relationships/hyperlink" Target="file:///F:/KAPK/Akreditacija%20Farmaceutski%20fakultet/Akreditacija%202017/Biohemijska%20dijagnostika/Standard%205/Prilog%205.1.xlsx" TargetMode="External"/><Relationship Id="rId19" Type="http://schemas.openxmlformats.org/officeDocument/2006/relationships/hyperlink" Target="file:///F:/KAPK/Akreditacija%20Farmaceutski%20fakultet/Akreditacija%202017/Biohemijska%20dijagnostika/Standard%205/Tabela%205.2B.doc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file:///F:/KAPK/Akreditacija%20Farmaceutski%20fakultet/Akreditacija%202017/Biohemijska%20dijagnostika/Standard%205/Prilog%205.4.docx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CCC2573AD2BF4688FBE1F02FC4A1DE" ma:contentTypeVersion="4" ma:contentTypeDescription="Create a new document." ma:contentTypeScope="" ma:versionID="94f0adb780211f75290f4a5f4dc4ebd1">
  <xsd:schema xmlns:xsd="http://www.w3.org/2001/XMLSchema" xmlns:xs="http://www.w3.org/2001/XMLSchema" xmlns:p="http://schemas.microsoft.com/office/2006/metadata/properties" xmlns:ns2="95786953-9e83-49db-890a-478f628b8a12" xmlns:ns3="0c524643-dac4-4b1f-924c-e943e00535c3" targetNamespace="http://schemas.microsoft.com/office/2006/metadata/properties" ma:root="true" ma:fieldsID="8e7e225201a5507f413111024dc9d86a" ns2:_="" ns3:_="">
    <xsd:import namespace="95786953-9e83-49db-890a-478f628b8a12"/>
    <xsd:import namespace="0c524643-dac4-4b1f-924c-e943e0053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86953-9e83-49db-890a-478f628b8a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4643-dac4-4b1f-924c-e943e00535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FD2962-D1A2-417B-A27C-35F51AE5B880}">
  <ds:schemaRefs>
    <ds:schemaRef ds:uri="http://purl.org/dc/terms/"/>
    <ds:schemaRef ds:uri="http://schemas.openxmlformats.org/package/2006/metadata/core-properties"/>
    <ds:schemaRef ds:uri="95786953-9e83-49db-890a-478f628b8a12"/>
    <ds:schemaRef ds:uri="http://purl.org/dc/dcmitype/"/>
    <ds:schemaRef ds:uri="http://schemas.microsoft.com/office/infopath/2007/PartnerControls"/>
    <ds:schemaRef ds:uri="0c524643-dac4-4b1f-924c-e943e00535c3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38673BB-212F-46C8-B7A0-0F2B018D23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0FE7FE-AFF4-4A30-AFD4-58D263F1C1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786953-9e83-49db-890a-478f628b8a12"/>
    <ds:schemaRef ds:uri="0c524643-dac4-4b1f-924c-e943e0053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667</Words>
  <Characters>3804</Characters>
  <Application>Microsoft Office Word</Application>
  <DocSecurity>0</DocSecurity>
  <Lines>31</Lines>
  <Paragraphs>8</Paragraphs>
  <ScaleCrop>false</ScaleCrop>
  <Company>Farmaceutski fakultet</Company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Spasić</dc:creator>
  <cp:keywords/>
  <cp:lastModifiedBy>Slavica Spasić</cp:lastModifiedBy>
  <cp:revision>31</cp:revision>
  <dcterms:created xsi:type="dcterms:W3CDTF">2018-03-17T12:25:00Z</dcterms:created>
  <dcterms:modified xsi:type="dcterms:W3CDTF">2018-04-17T16:24:00Z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0x01010082CCC2573AD2BF4688FBE1F02FC4A1DE</vt:lpwstr>
  </property>
</Properties>
</file>